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widowControl w:val="0"/>
        <w:spacing w:after="240"/>
        <w:jc w:val="both"/>
        <w:rPr>
          <w:rFonts w:ascii="Calibri" w:cs="Calibri" w:hAnsi="Calibri" w:eastAsia="Calibri"/>
          <w:sz w:val="25"/>
          <w:szCs w:val="25"/>
        </w:rPr>
      </w:pPr>
      <w:r>
        <w:rPr>
          <w:rFonts w:ascii="Calibri" w:cs="Calibri" w:hAnsi="Calibri" w:eastAsia="Calibri"/>
          <w:sz w:val="25"/>
          <w:szCs w:val="25"/>
          <w:rtl w:val="0"/>
        </w:rPr>
        <w:t>Tiskov</w:t>
      </w:r>
      <w:r>
        <w:rPr>
          <w:rFonts w:ascii="Calibri" w:cs="Calibri" w:hAnsi="Calibri" w:eastAsia="Calibri"/>
          <w:sz w:val="25"/>
          <w:szCs w:val="25"/>
          <w:rtl w:val="0"/>
          <w:lang w:val="en-US"/>
        </w:rPr>
        <w:t xml:space="preserve">á </w:t>
      </w:r>
      <w:r>
        <w:rPr>
          <w:rFonts w:ascii="Calibri" w:cs="Calibri" w:hAnsi="Calibri" w:eastAsia="Calibri"/>
          <w:sz w:val="25"/>
          <w:szCs w:val="25"/>
          <w:rtl w:val="0"/>
        </w:rPr>
        <w:t>zpr</w:t>
      </w:r>
      <w:r>
        <w:rPr>
          <w:rFonts w:ascii="Calibri" w:cs="Calibri" w:hAnsi="Calibri" w:eastAsia="Calibri"/>
          <w:sz w:val="25"/>
          <w:szCs w:val="25"/>
          <w:rtl w:val="0"/>
          <w:lang w:val="en-US"/>
        </w:rPr>
        <w:t>á</w:t>
      </w:r>
      <w:r>
        <w:rPr>
          <w:rFonts w:ascii="Calibri" w:cs="Calibri" w:hAnsi="Calibri" w:eastAsia="Calibri"/>
          <w:sz w:val="25"/>
          <w:szCs w:val="25"/>
          <w:rtl w:val="0"/>
        </w:rPr>
        <w:t>va</w:t>
      </w:r>
      <w:r>
        <w:rPr>
          <w:rFonts w:ascii="Calibri" w:cs="Calibri" w:hAnsi="Calibri" w:eastAsia="Calibri"/>
          <w:sz w:val="25"/>
          <w:szCs w:val="25"/>
          <w:shd w:val="clear" w:color="auto" w:fill="feffff"/>
          <w:rtl w:val="0"/>
        </w:rPr>
        <w:t xml:space="preserve">, </w:t>
      </w:r>
      <w:r>
        <w:rPr>
          <w:rFonts w:ascii="Calibri" w:cs="Calibri" w:hAnsi="Calibri" w:eastAsia="Calibri"/>
          <w:sz w:val="25"/>
          <w:szCs w:val="25"/>
          <w:shd w:val="clear" w:color="auto" w:fill="feffff"/>
          <w:rtl w:val="0"/>
        </w:rPr>
        <w:t>4</w:t>
      </w:r>
      <w:r>
        <w:rPr>
          <w:rFonts w:ascii="Calibri" w:cs="Calibri" w:hAnsi="Calibri" w:eastAsia="Calibri"/>
          <w:sz w:val="25"/>
          <w:szCs w:val="25"/>
          <w:shd w:val="clear" w:color="auto" w:fill="feffff"/>
          <w:rtl w:val="0"/>
        </w:rPr>
        <w:t>. 8</w:t>
      </w:r>
      <w:r>
        <w:rPr>
          <w:rFonts w:ascii="Calibri" w:cs="Calibri" w:hAnsi="Calibri" w:eastAsia="Calibri"/>
          <w:sz w:val="25"/>
          <w:szCs w:val="25"/>
          <w:rtl w:val="0"/>
        </w:rPr>
        <w:t>. 2021</w:t>
      </w:r>
    </w:p>
    <w:p>
      <w:pPr>
        <w:pStyle w:val="Výchozí"/>
        <w:spacing w:before="0" w:line="40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</w:rPr>
      </w:pP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 </w:t>
      </w:r>
    </w:p>
    <w:p>
      <w:pPr>
        <w:pStyle w:val="Výchozí"/>
        <w:spacing w:before="0" w:line="320" w:lineRule="atLeast"/>
        <w:jc w:val="center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S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me budoucnost - hlasov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  <w:lang w:val="nl-NL"/>
        </w:rPr>
        <w:t>o grant na v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sadbu strom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, do kter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ho se zapojil historicky nejv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 xml:space="preserve">ší 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po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et projekt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, skon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  <w:lang w:val="it-IT"/>
        </w:rPr>
        <w:t>ilo.</w:t>
      </w:r>
      <w:r>
        <w:rPr>
          <w:rFonts w:ascii="Calibri" w:cs="Calibri" w:hAnsi="Calibri" w:eastAsia="Calibri"/>
          <w:b w:val="1"/>
          <w:bCs w:val="1"/>
          <w:sz w:val="25"/>
          <w:szCs w:val="25"/>
          <w:shd w:val="clear" w:color="auto" w:fill="ffffff"/>
          <w:rtl w:val="0"/>
        </w:rPr>
        <w:t> </w:t>
      </w:r>
    </w:p>
    <w:p>
      <w:pPr>
        <w:pStyle w:val="Výchozí"/>
        <w:spacing w:before="0" w:line="320" w:lineRule="atLeast"/>
        <w:jc w:val="center"/>
        <w:rPr>
          <w:rFonts w:ascii="Calibri" w:cs="Calibri" w:hAnsi="Calibri" w:eastAsia="Calibri"/>
          <w:outline w:val="0"/>
          <w:color w:val="201f1e"/>
          <w:sz w:val="25"/>
          <w:szCs w:val="25"/>
          <w:u w:val="none"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"Stromy m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it-IT"/>
        </w:rPr>
        <w:t>sto let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" vyrostou v torn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dem zasa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ch Mikul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ic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ch.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</w:p>
    <w:p>
      <w:pPr>
        <w:pStyle w:val="Výchozí"/>
        <w:spacing w:before="0" w:line="28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</w:rPr>
      </w:pP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 </w:t>
      </w:r>
    </w:p>
    <w:p>
      <w:pPr>
        <w:pStyle w:val="Výchozí"/>
        <w:spacing w:before="0" w:line="320" w:lineRule="atLeast"/>
        <w:jc w:val="both"/>
        <w:rPr>
          <w:rFonts w:ascii="Calibri" w:cs="Calibri" w:hAnsi="Calibri" w:eastAsia="Calibri"/>
          <w:b w:val="1"/>
          <w:bCs w:val="1"/>
          <w:outline w:val="0"/>
          <w:color w:val="201f1e"/>
          <w:sz w:val="25"/>
          <w:szCs w:val="25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íť 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velkoobchod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ů 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en-US"/>
        </w:rPr>
        <w:t>makro Cash &amp; Carry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Č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R je i letos partnerem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iniciativy S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me budoucnost Nadace Partnerstv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, kter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ka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es-ES_tradnl"/>
        </w:rPr>
        <w:t>doro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it-IT"/>
        </w:rPr>
        <w:t>isp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na v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sadbu strom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ve voln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krajin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i na jej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m rozhran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.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Do leto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ho ve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ejn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ho online hlasov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fr-FR"/>
        </w:rPr>
        <w:t>o grant se p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ihl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silo 35 projekt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it-IT"/>
        </w:rPr>
        <w:t>, co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je nejvy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šší úč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ast v historii. Absolutn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m v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zem s 2667 hlasy se stal projekt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„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Stromy nap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říč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l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ny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de-DE"/>
        </w:rPr>
        <w:t xml:space="preserve">“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ihl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it-IT"/>
        </w:rPr>
        <w:t>region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ln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pt-PT"/>
        </w:rPr>
        <w:t>m centrem Hnut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Brontosaurus Podlu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ží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.</w:t>
      </w:r>
    </w:p>
    <w:p>
      <w:pPr>
        <w:pStyle w:val="Výchozí"/>
        <w:spacing w:before="0" w:line="320" w:lineRule="atLeast"/>
        <w:jc w:val="both"/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To ve spolupr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ci s obc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Mikul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ice a m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stn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mi obyvateli p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ipravilo 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vrh na v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sadbu ovocn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ho stromo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ad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sest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vaj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ho ze 45 strom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, kter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propoj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obce Mikul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en-US"/>
        </w:rPr>
        <w:t>ice a b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b w:val="1"/>
          <w:bCs w:val="1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eh Kyjovky. </w:t>
      </w:r>
    </w:p>
    <w:p>
      <w:pPr>
        <w:pStyle w:val="Výchozí"/>
        <w:spacing w:before="0" w:line="36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</w:rPr>
      </w:pPr>
    </w:p>
    <w:p>
      <w:pPr>
        <w:pStyle w:val="Výchozí"/>
        <w:spacing w:before="0" w:line="36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</w:pPr>
      <w:r>
        <w:rPr>
          <w:rFonts w:ascii="Calibri" w:cs="Calibri" w:hAnsi="Calibri" w:eastAsia="Calibri"/>
          <w:color w:val="001432"/>
          <w:sz w:val="25"/>
          <w:szCs w:val="25"/>
          <w:u w:color="000000"/>
          <w:shd w:val="clear" w:color="auto" w:fill="ffffff"/>
          <w:rtl w:val="0"/>
        </w:rPr>
        <w:t>„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sadba zpest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ří 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poln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krajinu a p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it-IT"/>
        </w:rPr>
        <w:t>isp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je k jej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udr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itelnosti, poskytne tak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é ú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kryt 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it-IT"/>
        </w:rPr>
        <w:t>ivo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de-DE"/>
        </w:rPr>
        <w:t>ich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m. M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stn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m lidem nab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dne mo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nost proch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zek od obce k 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ece a v budoucnu i p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ří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le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itost nasb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rat si ovoce. A tak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jim d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 š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anci zapojit se do p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éč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e o sv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okol</w:t>
      </w:r>
      <w:r>
        <w:rPr>
          <w:rFonts w:ascii="Calibri" w:cs="Calibri" w:hAnsi="Calibri" w:eastAsia="Calibri"/>
          <w:i w:val="1"/>
          <w:iCs w:val="1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,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”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popsali projekt jeho auto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i.</w:t>
      </w:r>
    </w:p>
    <w:p>
      <w:pPr>
        <w:pStyle w:val="Výchozí"/>
        <w:spacing w:before="0" w:line="36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</w:pP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sadba prob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hne na podzim, p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esn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term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n bude ozn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men v z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áří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.</w:t>
      </w:r>
    </w:p>
    <w:p>
      <w:pPr>
        <w:pStyle w:val="Výchozí"/>
        <w:spacing w:before="0" w:line="36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</w:pPr>
    </w:p>
    <w:p>
      <w:pPr>
        <w:pStyle w:val="Výchozí"/>
        <w:spacing w:before="0" w:line="36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</w:rPr>
      </w:pP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“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  <w:lang w:val="de-DE"/>
        </w:rPr>
        <w:t>Z rekordn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ho po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tu zapojen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ch projekt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me velkou radost. Vn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me to jako d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kaz,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  <w:lang w:val="pt-PT"/>
        </w:rPr>
        <w:t>e iniciativa S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me budoucnost ve spole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nosti rezonuje a je o ni st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le v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ší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jem. Je to pro 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s velk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povzbuzen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, ale bereme to i jako z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vazek nad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le tuto energii smyslupln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rozv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jet. To,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e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čá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st prost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edk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poputuje do oblasti zasa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torn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dem je pro 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s kl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íč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ov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é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. Stromy a zele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ň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te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ď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v regionu citeln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chyb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a pokud ji neobnov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me tento podzim, p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říš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rok bude na Hodon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nsku a B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eclavsku p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ipom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nat Saharu. Z toho d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vodu jsme v Nadaci Partnerstv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zalo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ili i ve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ejnou sb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rku a pracujeme na pl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nu dlouhodob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obnovy ji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color w:val="201f1e"/>
          <w:sz w:val="25"/>
          <w:szCs w:val="25"/>
          <w:u w:color="000000"/>
          <w:shd w:val="clear" w:color="auto" w:fill="ffffff"/>
          <w:rtl w:val="0"/>
        </w:rPr>
        <w:t>Moravy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,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” 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ekla za Nadaci Partnerstv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Anna Poled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ňá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kov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, PR mana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erka iniciativy S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me budoucnost.</w:t>
      </w:r>
    </w:p>
    <w:p>
      <w:pPr>
        <w:pStyle w:val="Výchozí"/>
        <w:spacing w:before="0" w:line="32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</w:rPr>
      </w:pPr>
    </w:p>
    <w:p>
      <w:pPr>
        <w:pStyle w:val="Výchozí"/>
        <w:spacing w:before="0" w:line="32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</w:rPr>
      </w:pP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Na druh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m m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st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pt-PT"/>
        </w:rPr>
        <w:t>se um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stil projekt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„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Za pap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r s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me stromy - Zdislava 2021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de-DE"/>
        </w:rPr>
        <w:t xml:space="preserve">“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s 736 hlasy, kter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do hlasov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ihl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silo sdru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sv-SE"/>
        </w:rPr>
        <w:t>Lemnisk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it-IT"/>
        </w:rPr>
        <w:t xml:space="preserve">ta -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ivot bez bari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r, o.p.s. a pomyslnou bronzovou medaili za 668 hlas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si odnesl 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vrh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„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Revitalizace b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val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skl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dky ve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nkovic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ch</w:t>
      </w:r>
      <w:r>
        <w:rPr>
          <w:outline w:val="0"/>
          <w:color w:val="201f1e"/>
          <w:sz w:val="25"/>
          <w:szCs w:val="25"/>
          <w:u w:color="000000"/>
          <w:shd w:val="clear" w:color="auto" w:fill="ffffff"/>
          <w:rtl w:val="1"/>
          <w:lang w:val="ar-SA" w:bidi="ar-SA"/>
        </w:rPr>
        <w:t>“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, jej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autorem je S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  <w:lang w:val="de-DE"/>
        </w:rPr>
        <w:t>me stromy, z.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ú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.</w:t>
      </w:r>
    </w:p>
    <w:p>
      <w:pPr>
        <w:pStyle w:val="Výchozí"/>
        <w:spacing w:before="0" w:line="280" w:lineRule="atLeast"/>
        <w:jc w:val="both"/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</w:rPr>
      </w:pP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 </w:t>
      </w:r>
    </w:p>
    <w:p>
      <w:pPr>
        <w:pStyle w:val="Výchozí"/>
        <w:spacing w:before="0" w:line="320" w:lineRule="atLeast"/>
        <w:jc w:val="both"/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</w:rPr>
      </w:pP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„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Stromy m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it-IT"/>
        </w:rPr>
        <w:t>sto let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ů“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jsou ji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  <w:lang w:val="nl-NL"/>
        </w:rPr>
        <w:t>dvan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  <w:lang w:val="en-US"/>
        </w:rPr>
        <w:t xml:space="preserve">ct 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let spole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m projektem</w:t>
      </w:r>
      <w:r>
        <w:rPr>
          <w:rFonts w:ascii="Calibri" w:cs="Calibri" w:hAnsi="Calibri" w:eastAsia="Calibri"/>
          <w:outline w:val="0"/>
          <w:color w:val="050505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en-US"/>
        </w:rPr>
        <w:t>makro Cash &amp; Carry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Č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de-DE"/>
        </w:rPr>
        <w:t xml:space="preserve">R 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Nadac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e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Partnerstv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. U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siluje o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  <w:lang w:val="es-ES_tradnl"/>
        </w:rPr>
        <w:t>popularizaci p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echodu od pap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rov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  <w:lang w:val="de-DE"/>
        </w:rPr>
        <w:t>ch k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elektronick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m let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m.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Za ka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d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ho z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kazn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ka, kter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se p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ihl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s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  <w:lang w:val="da-DK"/>
        </w:rPr>
        <w:t>odb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ru elektronick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ho nam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  <w:lang w:val="it-IT"/>
        </w:rPr>
        <w:t>sto ti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ho let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ku,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makro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  <w:lang w:val="it-IT"/>
        </w:rPr>
        <w:t>isp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je nadaci 20 korun na v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sadbu strom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. Od roku 2010 tak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makro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erozd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lilo ji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ce ne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ž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1 600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000,- korun mezi celkem 72 projekt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ů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p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ihl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áš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ch do grant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ů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Nadace Partnerstv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, d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ky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 č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emu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ž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bylo vys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zeno 3137 strom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ů 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a ke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řů</w:t>
      </w:r>
      <w:r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  <w:rtl w:val="0"/>
        </w:rPr>
        <w:t>.</w:t>
      </w:r>
    </w:p>
    <w:p>
      <w:pPr>
        <w:pStyle w:val="Výchozí"/>
        <w:spacing w:before="0" w:line="320" w:lineRule="atLeast"/>
        <w:jc w:val="both"/>
        <w:rPr>
          <w:rFonts w:ascii="Calibri" w:cs="Calibri" w:hAnsi="Calibri" w:eastAsia="Calibri"/>
          <w:outline w:val="0"/>
          <w:color w:val="001432"/>
          <w:sz w:val="25"/>
          <w:szCs w:val="25"/>
          <w:u w:color="000000"/>
          <w:shd w:val="clear" w:color="auto" w:fill="ffffff"/>
        </w:rPr>
      </w:pPr>
    </w:p>
    <w:p>
      <w:pPr>
        <w:pStyle w:val="Výchozí"/>
        <w:spacing w:before="0" w:line="320" w:lineRule="atLeast"/>
        <w:jc w:val="both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Leto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ro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de-DE"/>
        </w:rPr>
        <w:t xml:space="preserve">k trhal rekordy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nejen v po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tu projekt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, kter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pt-PT"/>
        </w:rPr>
        <w:t>do 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j byly p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ihl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eny, ale tak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é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v po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tu hlasuj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ch. D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kujeme v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em z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úč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ast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m a gratulujeme v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zn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mu projektu z Mikul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ic. Jsme r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fr-FR"/>
        </w:rPr>
        <w:t xml:space="preserve">di,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it-IT"/>
        </w:rPr>
        <w:t>e tato pozitivn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zpr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va putuje pr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do oblasti pot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kaj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se st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le je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fr-FR"/>
        </w:rPr>
        <w:t>s d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sledky ned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vn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ho ni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iv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ho z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sahu torn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da a pevn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ěří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me,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  <w:lang w:val="fr-FR"/>
        </w:rPr>
        <w:t>e grant autor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m projektu ud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l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stejnou radost jako n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,</w:t>
      </w:r>
      <w:r>
        <w:rPr>
          <w:sz w:val="25"/>
          <w:szCs w:val="25"/>
          <w:shd w:val="clear" w:color="auto" w:fill="ffffff"/>
          <w:rtl w:val="1"/>
          <w:lang w:val="ar-SA" w:bidi="ar-SA"/>
        </w:rPr>
        <w:t>“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 hodnot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pt-PT"/>
        </w:rPr>
        <w:t>leto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ro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 xml:space="preserve">Martin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>ivrn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, mana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da-DK"/>
        </w:rPr>
        <w:t>er udr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itelnosti, Makro Cash &amp; Carry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R, kter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bylo mezi prvn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mi velk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mi firmami, kter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é 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ly oblastem zasa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pt-PT"/>
        </w:rPr>
        <w:t>m torn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de-DE"/>
        </w:rPr>
        <w:t>dem okam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it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tak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na pomoc. Hned druh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den pot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, co se tento ni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iv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ý ž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ivel Moravou prohnal, expe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d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pt-PT"/>
        </w:rPr>
        <w:t>ovalo makro do posti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ch oblast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suroviny v hodnot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ě č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tvrt mili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es-ES_tradnl"/>
        </w:rPr>
        <w:t>ó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nu, z kter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ch jejich gastro partne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it-IT"/>
        </w:rPr>
        <w:t>i p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ipravovali j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dlo pro pom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haj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c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en-US"/>
        </w:rPr>
        <w:t>hasi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e,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emesln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ky i dobrovoln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ky. 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ce ne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na glob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ln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pomoc se ale spole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nost zam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ěř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ila na adresnou pomoc jednotlivc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m, kte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ří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se z minuty na minutu ocitli bez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ivnosti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i st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echy nad hlavou a bez vyhl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dky na pomoc. Jedn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m z takov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ch byl provozovatel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000000"/>
          <w:shd w:val="clear" w:color="auto" w:fill="ffffff"/>
          <w:rtl w:val="0"/>
        </w:rPr>
        <w:t>prodejny s potravinami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 „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j obchod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de-DE"/>
        </w:rPr>
        <w:t xml:space="preserve">“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v Moravsk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nov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vsi. Neuplynulo je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ani p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l roku ode dne, kdy prodejnu zakoupil, zrenovoval, vybavil sortimentem a otev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el, kdy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se nad jeho obchodem p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ehnalo torn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do, odneslo mu st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echu a rozmetalo vybaven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prodejny na kusy.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 „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Kdy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jsme se jeho p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ří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b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h dozv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d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li, nev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5"/>
          <w:szCs w:val="25"/>
          <w:shd w:val="clear" w:color="auto" w:fill="ffffff"/>
          <w:rtl w:val="0"/>
        </w:rPr>
        <w:t>hali jsme ani minutu a pustili se do obnovy jeho prodejny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,</w:t>
      </w:r>
      <w:r>
        <w:rPr>
          <w:sz w:val="25"/>
          <w:szCs w:val="25"/>
          <w:shd w:val="clear" w:color="auto" w:fill="ffffff"/>
          <w:rtl w:val="1"/>
          <w:lang w:val="ar-SA" w:bidi="ar-SA"/>
        </w:rPr>
        <w:t>“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 dod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 xml:space="preserve">Martin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>ivrn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ý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za makro, kter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majiteli obchodu zajistilo kompletn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í „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potorn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dov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ý“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servis - zajistilo statika, zaplatilo novou st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echu, vybaven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sz w:val="25"/>
          <w:szCs w:val="25"/>
          <w:shd w:val="clear" w:color="auto" w:fill="ffffff"/>
          <w:rtl w:val="0"/>
        </w:rPr>
        <w:t>obchodu i jeho rebranding.</w:t>
      </w:r>
    </w:p>
    <w:p>
      <w:pPr>
        <w:pStyle w:val="Text"/>
        <w:widowControl w:val="0"/>
        <w:spacing w:before="240" w:after="240"/>
        <w:jc w:val="center"/>
        <w:rPr>
          <w:outline w:val="0"/>
          <w:color w:val="222222"/>
          <w:u w:color="222222"/>
          <w:shd w:val="clear" w:color="auto" w:fill="ffffff"/>
        </w:rPr>
      </w:pPr>
      <w:r>
        <w:rPr>
          <w:sz w:val="22"/>
          <w:szCs w:val="22"/>
          <w:rtl w:val="0"/>
        </w:rPr>
        <w:t>***</w:t>
      </w:r>
    </w:p>
    <w:p>
      <w:pPr>
        <w:pStyle w:val="Výchozí"/>
        <w:spacing w:before="0" w:after="320" w:line="320" w:lineRule="atLeast"/>
        <w:jc w:val="both"/>
        <w:rPr>
          <w:rFonts w:ascii="Calibri" w:cs="Calibri" w:hAnsi="Calibri" w:eastAsia="Calibri"/>
          <w:outline w:val="0"/>
          <w:color w:val="201f1e"/>
          <w:sz w:val="29"/>
          <w:szCs w:val="29"/>
          <w:u w:color="201f1e"/>
          <w:shd w:val="clear" w:color="auto" w:fill="ffffff"/>
        </w:rPr>
      </w:pP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Metro, mezin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rodn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velkoobchodn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dr, se specializuje na prodej potravin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sk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ho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br w:type="textWrapping"/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a nepotravin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sk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it-IT"/>
        </w:rPr>
        <w:t>ho sortimentu. Zam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ěř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uje se na pot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en-US"/>
        </w:rPr>
        <w:t>eby hotel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it-IT"/>
        </w:rPr>
        <w:t>, restaurac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a stravovac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ch za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ří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zen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(HoReCa) i nez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visl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ch obchodn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it-IT"/>
        </w:rPr>
        <w:t>. Metro m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po cel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m sv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t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it-IT"/>
        </w:rPr>
        <w:t>16 milion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z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kazn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k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ů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, kte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ří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si mohou vybrat, zda budou zbo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ží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nakupovat v jednom z velkoform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tov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ch obchod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nebo online. P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i objedn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vce zbo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ží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online si mohou sv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fr-FR"/>
        </w:rPr>
        <w:t xml:space="preserve">é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kupy vyzvednout v obchod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nebo nechat doru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it. Metro vyu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ží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digit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ln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de-DE"/>
        </w:rPr>
        <w:t xml:space="preserve">ch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e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en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,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čí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m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podporuje konkurenceschopnost podnikatel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ů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a p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it-IT"/>
        </w:rPr>
        <w:t>isp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tak ke kulturn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rozmanitosti 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oblasti pohostinstv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a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maloobchodu. Kl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íč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ov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it-IT"/>
        </w:rPr>
        <w:t>m pil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em podnik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spole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nosti Metro je udr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ž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itelnost, kde podle indexu Dow Jones zastupuje pozici evropsk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ho l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it-IT"/>
        </w:rPr>
        <w:t>dra.</w:t>
      </w:r>
    </w:p>
    <w:p>
      <w:pPr>
        <w:pStyle w:val="Výchozí"/>
        <w:spacing w:before="0" w:after="320" w:line="320" w:lineRule="atLeast"/>
        <w:jc w:val="both"/>
        <w:rPr>
          <w:outline w:val="0"/>
          <w:color w:val="222222"/>
          <w:u w:color="222222"/>
          <w:shd w:val="clear" w:color="auto" w:fill="ffffff"/>
        </w:rPr>
      </w:pP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Metro/Makro Cash &amp; Carry je zastoupeno ve 34 zem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ch a celosv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tov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 xml:space="preserve">ě 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zam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stn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 xml:space="preserve">á 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v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ce ne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 xml:space="preserve">ž 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100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000 lid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.</w:t>
      </w:r>
      <w:r>
        <w:rPr>
          <w:rFonts w:ascii="Calibri" w:cs="Calibri" w:hAnsi="Calibri" w:eastAsia="Calibri"/>
          <w:outline w:val="0"/>
          <w:color w:val="000000"/>
          <w:sz w:val="25"/>
          <w:szCs w:val="25"/>
          <w:u w:color="000000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Ve finan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m roce 2018/19 dos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hla spole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nost Metro obratu 27,1 miliardy EUR. V z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áří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2018 zah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á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jila spole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č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nost Metro proces odprodeje potravinov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ho maloobchodn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ho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ř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et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zce Real se sv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ý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mi 34 000 zam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ě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stnanci. V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í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  <w:lang w:val="es-ES_tradnl"/>
        </w:rPr>
        <w:t>ce informac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 xml:space="preserve">í 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naleznete na</w:t>
      </w:r>
      <w:r>
        <w:rPr>
          <w:rFonts w:ascii="Calibri" w:cs="Calibri" w:hAnsi="Calibri" w:eastAsia="Calibri"/>
          <w:outline w:val="0"/>
          <w:color w:val="201f1e"/>
          <w:sz w:val="25"/>
          <w:szCs w:val="25"/>
          <w:u w:color="201f1e"/>
          <w:shd w:val="clear" w:color="auto" w:fill="ffffff"/>
          <w:rtl w:val="0"/>
        </w:rPr>
        <w:t> </w:t>
      </w:r>
      <w:hyperlink r:id="rId4" w:history="1">
        <w:r>
          <w:rPr>
            <w:rStyle w:val="Hyperlink.0"/>
            <w:rFonts w:ascii="Calibri" w:cs="Calibri" w:hAnsi="Calibri" w:eastAsia="Calibri"/>
            <w:outline w:val="0"/>
            <w:color w:val="0000ff"/>
            <w:sz w:val="25"/>
            <w:szCs w:val="25"/>
            <w:u w:val="single" w:color="0000ff"/>
            <w:shd w:val="clear" w:color="auto" w:fill="ffffff"/>
            <w:rtl w:val="0"/>
          </w:rPr>
          <w:t>www.metroag.de</w:t>
        </w:r>
      </w:hyperlink>
    </w:p>
    <w:p>
      <w:pPr>
        <w:pStyle w:val="Text"/>
        <w:widowControl w:val="0"/>
        <w:rPr>
          <w:sz w:val="19"/>
          <w:szCs w:val="19"/>
        </w:rPr>
      </w:pPr>
    </w:p>
    <w:p>
      <w:pPr>
        <w:pStyle w:val="Text"/>
        <w:widowControl w:val="0"/>
        <w:rPr>
          <w:sz w:val="20"/>
          <w:szCs w:val="20"/>
        </w:rPr>
      </w:pPr>
      <w:r>
        <w:rPr>
          <w:rFonts w:ascii="Arial Bold"/>
          <w:sz w:val="20"/>
          <w:szCs w:val="20"/>
          <w:u w:val="single"/>
          <w:rtl w:val="0"/>
          <w:lang w:val="it-IT"/>
        </w:rPr>
        <w:t>Pro v</w:t>
      </w:r>
      <w:r>
        <w:rPr>
          <w:rFonts w:hAnsi="Arial Bold" w:hint="default"/>
          <w:sz w:val="20"/>
          <w:szCs w:val="20"/>
          <w:u w:val="single"/>
          <w:rtl w:val="0"/>
          <w:lang w:val="en-US"/>
        </w:rPr>
        <w:t>í</w:t>
      </w:r>
      <w:r>
        <w:rPr>
          <w:rFonts w:ascii="Arial Bold"/>
          <w:sz w:val="20"/>
          <w:szCs w:val="20"/>
          <w:u w:val="single"/>
          <w:rtl w:val="0"/>
          <w:lang w:val="es-ES_tradnl"/>
        </w:rPr>
        <w:t>ce informac</w:t>
      </w:r>
      <w:r>
        <w:rPr>
          <w:rFonts w:hAnsi="Arial Bold" w:hint="default"/>
          <w:sz w:val="20"/>
          <w:szCs w:val="20"/>
          <w:u w:val="single"/>
          <w:rtl w:val="0"/>
          <w:lang w:val="en-US"/>
        </w:rPr>
        <w:t xml:space="preserve">í </w:t>
      </w:r>
      <w:r>
        <w:rPr>
          <w:rFonts w:ascii="Arial Bold"/>
          <w:sz w:val="20"/>
          <w:szCs w:val="20"/>
          <w:u w:val="single"/>
          <w:rtl w:val="0"/>
        </w:rPr>
        <w:t xml:space="preserve">kontaktujte: </w:t>
      </w:r>
    </w:p>
    <w:p>
      <w:pPr>
        <w:pStyle w:val="Text"/>
        <w:widowControl w:val="0"/>
        <w:rPr>
          <w:sz w:val="20"/>
          <w:szCs w:val="20"/>
        </w:rPr>
      </w:pPr>
    </w:p>
    <w:p>
      <w:pPr>
        <w:pStyle w:val="Text"/>
        <w:widowControl w:val="0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Kate</w:t>
      </w:r>
      <w:r>
        <w:rPr>
          <w:rFonts w:hAnsi="Arial Bold" w:hint="default"/>
          <w:sz w:val="20"/>
          <w:szCs w:val="20"/>
          <w:rtl w:val="0"/>
          <w:lang w:val="en-US"/>
        </w:rPr>
        <w:t>ř</w:t>
      </w:r>
      <w:r>
        <w:rPr>
          <w:rFonts w:ascii="Arial Bold"/>
          <w:sz w:val="20"/>
          <w:szCs w:val="20"/>
          <w:rtl w:val="0"/>
        </w:rPr>
        <w:t>ina D</w:t>
      </w:r>
      <w:r>
        <w:rPr>
          <w:rFonts w:hAnsi="Arial Bold" w:hint="default"/>
          <w:sz w:val="20"/>
          <w:szCs w:val="20"/>
          <w:rtl w:val="0"/>
          <w:lang w:val="en-US"/>
        </w:rPr>
        <w:t>ě</w:t>
      </w:r>
      <w:r>
        <w:rPr>
          <w:rFonts w:ascii="Arial Bold"/>
          <w:sz w:val="20"/>
          <w:szCs w:val="20"/>
          <w:rtl w:val="0"/>
        </w:rPr>
        <w:t>dkov</w:t>
      </w:r>
      <w:r>
        <w:rPr>
          <w:rFonts w:hAnsi="Arial Bold" w:hint="default"/>
          <w:sz w:val="20"/>
          <w:szCs w:val="20"/>
          <w:rtl w:val="0"/>
          <w:lang w:val="en-US"/>
        </w:rPr>
        <w:t>á</w:t>
      </w:r>
    </w:p>
    <w:p>
      <w:pPr>
        <w:pStyle w:val="Text"/>
        <w:widowContro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FleishmanHillard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  <w:lang w:val="pt-PT"/>
        </w:rPr>
        <w:t xml:space="preserve">tel.: </w:t>
        <w:tab/>
        <w:t>+420</w:t>
      </w:r>
      <w:r>
        <w:rPr>
          <w:rFonts w:hAnsi="Arial" w:hint="default"/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</w:rPr>
        <w:t>724 444 539</w:t>
      </w:r>
    </w:p>
    <w:p>
      <w:pPr>
        <w:pStyle w:val="Text"/>
        <w:outlineLvl w:val="0"/>
        <w:rPr>
          <w:outline w:val="0"/>
          <w:color w:val="0000ff"/>
          <w:u w:val="single" w:color="0000ff"/>
        </w:rPr>
      </w:pPr>
      <w:r>
        <w:rPr>
          <w:sz w:val="20"/>
          <w:szCs w:val="20"/>
          <w:rtl w:val="0"/>
        </w:rPr>
        <w:t>e-mail: dedkova@fleishman.com</w:t>
      </w:r>
    </w:p>
    <w:p>
      <w:pPr>
        <w:pStyle w:val="Text"/>
        <w:widowControl w:val="0"/>
        <w:rPr>
          <w:rFonts w:ascii="Arial Bold" w:cs="Arial Bold" w:hAnsi="Arial Bold" w:eastAsia="Arial Bold"/>
          <w:sz w:val="20"/>
          <w:szCs w:val="20"/>
        </w:rPr>
      </w:pPr>
    </w:p>
    <w:p>
      <w:pPr>
        <w:pStyle w:val="Text"/>
        <w:widowControl w:val="0"/>
        <w:rPr>
          <w:rFonts w:ascii="Arial Bold" w:cs="Arial Bold" w:hAnsi="Arial Bold" w:eastAsia="Arial Bold"/>
          <w:sz w:val="20"/>
          <w:szCs w:val="20"/>
          <w:rtl w:val="0"/>
        </w:rPr>
      </w:pPr>
      <w:r>
        <w:rPr>
          <w:rFonts w:ascii="Arial Bold"/>
          <w:sz w:val="20"/>
          <w:szCs w:val="20"/>
          <w:rtl w:val="0"/>
          <w:lang w:val="it-IT"/>
        </w:rPr>
        <w:t>Romana N</w:t>
      </w:r>
      <w:r>
        <w:rPr>
          <w:rFonts w:hAnsi="Arial Bold" w:hint="default"/>
          <w:sz w:val="20"/>
          <w:szCs w:val="20"/>
          <w:rtl w:val="0"/>
          <w:lang w:val="en-US"/>
        </w:rPr>
        <w:t>ý</w:t>
      </w:r>
      <w:r>
        <w:rPr>
          <w:rFonts w:ascii="Arial Bold"/>
          <w:sz w:val="20"/>
          <w:szCs w:val="20"/>
          <w:rtl w:val="0"/>
        </w:rPr>
        <w:t>drle</w:t>
      </w:r>
    </w:p>
    <w:p>
      <w:pPr>
        <w:pStyle w:val="Text"/>
        <w:widowControl w:val="0"/>
        <w:rPr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Vedouc</w:t>
      </w:r>
      <w:r>
        <w:rPr>
          <w:rFonts w:hAnsi="Arial Bold" w:hint="default"/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korpor</w:t>
      </w:r>
      <w:r>
        <w:rPr>
          <w:rFonts w:hAnsi="Arial" w:hint="default"/>
          <w:sz w:val="20"/>
          <w:szCs w:val="20"/>
          <w:rtl w:val="0"/>
          <w:lang w:val="en-US"/>
        </w:rPr>
        <w:t>á</w:t>
      </w:r>
      <w:r>
        <w:rPr>
          <w:sz w:val="20"/>
          <w:szCs w:val="20"/>
          <w:rtl w:val="0"/>
        </w:rPr>
        <w:t>tn</w:t>
      </w:r>
      <w:r>
        <w:rPr>
          <w:rFonts w:hAnsi="Arial" w:hint="default"/>
          <w:sz w:val="20"/>
          <w:szCs w:val="20"/>
          <w:rtl w:val="0"/>
          <w:lang w:val="en-US"/>
        </w:rPr>
        <w:t xml:space="preserve">í </w:t>
      </w:r>
      <w:r>
        <w:rPr>
          <w:sz w:val="20"/>
          <w:szCs w:val="20"/>
          <w:rtl w:val="0"/>
        </w:rPr>
        <w:t>komunikace MAKRO Cash &amp; Carry</w:t>
      </w:r>
      <w:r>
        <w:rPr>
          <w:sz w:val="20"/>
          <w:szCs w:val="20"/>
          <w:rtl w:val="0"/>
        </w:rPr>
        <w:br w:type="textWrapping"/>
      </w:r>
      <w:r>
        <w:rPr>
          <w:sz w:val="20"/>
          <w:szCs w:val="20"/>
          <w:rtl w:val="0"/>
          <w:lang w:val="pt-PT"/>
        </w:rPr>
        <w:t xml:space="preserve">tel.: </w:t>
        <w:tab/>
        <w:t>+420</w:t>
      </w:r>
      <w:r>
        <w:rPr>
          <w:rFonts w:hAnsi="Arial" w:hint="default"/>
          <w:sz w:val="20"/>
          <w:szCs w:val="20"/>
          <w:rtl w:val="0"/>
          <w:lang w:val="en-US"/>
        </w:rPr>
        <w:t> </w:t>
      </w:r>
      <w:r>
        <w:rPr>
          <w:sz w:val="20"/>
          <w:szCs w:val="20"/>
          <w:rtl w:val="0"/>
        </w:rPr>
        <w:t>251 111 112</w:t>
      </w:r>
    </w:p>
    <w:p>
      <w:pPr>
        <w:pStyle w:val="Text"/>
      </w:pPr>
      <w:r>
        <w:rPr>
          <w:rFonts w:ascii="Arial" w:cs="Arial Unicode MS" w:hAnsi="Arial Unicode MS" w:eastAsia="Arial Unicode MS"/>
          <w:sz w:val="20"/>
          <w:szCs w:val="20"/>
          <w:rtl w:val="0"/>
        </w:rPr>
        <w:t xml:space="preserve">e-mail: </w:t>
        <w:tab/>
      </w:r>
      <w:hyperlink r:id="rId5" w:history="1">
        <w:r>
          <w:rPr>
            <w:rStyle w:val="Hyperlink.1"/>
            <w:rFonts w:ascii="Arial" w:cs="Arial Unicode MS" w:hAnsi="Arial Unicode MS" w:eastAsia="Arial Unicode MS"/>
            <w:outline w:val="0"/>
            <w:color w:val="0000ff"/>
            <w:sz w:val="20"/>
            <w:szCs w:val="20"/>
            <w:u w:val="single" w:color="0000ff"/>
            <w:rtl w:val="0"/>
          </w:rPr>
          <w:t>romana.nydrle@makro.cz</w:t>
        </w:r>
      </w:hyperlink>
    </w:p>
    <w:p>
      <w:pPr>
        <w:pStyle w:val="Text"/>
        <w:outlineLvl w:val="0"/>
        <w:rPr>
          <w:sz w:val="20"/>
          <w:szCs w:val="20"/>
        </w:rPr>
      </w:pPr>
    </w:p>
    <w:p>
      <w:pPr>
        <w:pStyle w:val="Text"/>
        <w:rPr>
          <w:sz w:val="20"/>
          <w:szCs w:val="20"/>
        </w:rPr>
      </w:pPr>
      <w:hyperlink r:id="rId6" w:history="1">
        <w:r>
          <w:rPr>
            <w:rStyle w:val="Hyperlink.1"/>
            <w:rFonts w:ascii="Arial" w:cs="Arial Unicode MS" w:hAnsi="Arial Unicode MS" w:eastAsia="Arial Unicode MS"/>
            <w:outline w:val="0"/>
            <w:color w:val="0000ff"/>
            <w:sz w:val="20"/>
            <w:szCs w:val="20"/>
            <w:u w:val="single" w:color="0000ff"/>
            <w:rtl w:val="0"/>
          </w:rPr>
          <w:t>www.makro.cz</w:t>
        </w:r>
      </w:hyperlink>
    </w:p>
    <w:p>
      <w:pPr>
        <w:pStyle w:val="Text"/>
        <w:rPr>
          <w:sz w:val="20"/>
          <w:szCs w:val="20"/>
        </w:rPr>
      </w:pPr>
      <w:hyperlink r:id="rId7" w:history="1">
        <w:r>
          <w:rPr>
            <w:rStyle w:val="Hyperlink.1"/>
            <w:rFonts w:ascii="Arial" w:cs="Arial Unicode MS" w:hAnsi="Arial Unicode MS" w:eastAsia="Arial Unicode MS"/>
            <w:outline w:val="0"/>
            <w:color w:val="0000ff"/>
            <w:sz w:val="20"/>
            <w:szCs w:val="20"/>
            <w:u w:val="single" w:color="0000ff"/>
            <w:rtl w:val="0"/>
          </w:rPr>
          <w:t>www.facebook.com/makro.cz</w:t>
        </w:r>
      </w:hyperlink>
    </w:p>
    <w:p>
      <w:pPr>
        <w:pStyle w:val="Text"/>
      </w:pPr>
      <w:hyperlink r:id="rId8" w:history="1">
        <w:r>
          <w:rPr>
            <w:rStyle w:val="Hyperlink.1"/>
            <w:rFonts w:ascii="Arial" w:cs="Arial Unicode MS" w:hAnsi="Arial Unicode MS" w:eastAsia="Arial Unicode MS"/>
            <w:outline w:val="0"/>
            <w:color w:val="0000ff"/>
            <w:sz w:val="20"/>
            <w:szCs w:val="20"/>
            <w:u w:val="single" w:color="0000ff"/>
            <w:rtl w:val="0"/>
          </w:rPr>
          <w:t>www.twitter.com/makrocr</w:t>
        </w:r>
      </w:hyperlink>
    </w:p>
    <w:sectPr>
      <w:headerReference w:type="default" r:id="rId9"/>
      <w:footerReference w:type="default" r:id="rId10"/>
      <w:pgSz w:w="11900" w:h="16840" w:orient="portrait"/>
      <w:pgMar w:top="2325" w:right="1418" w:bottom="1021" w:left="1418" w:header="454" w:footer="7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ext"/>
      <w:widowControl w:val="0"/>
      <w:spacing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5106670</wp:posOffset>
          </wp:positionH>
          <wp:positionV relativeFrom="page">
            <wp:posOffset>607694</wp:posOffset>
          </wp:positionV>
          <wp:extent cx="1415415" cy="604024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Picture 1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6040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libri" w:cs="Calibri" w:hAnsi="Calibri" w:eastAsia="Calibri"/>
      <w:outline w:val="0"/>
      <w:color w:val="0000ff"/>
      <w:sz w:val="25"/>
      <w:szCs w:val="25"/>
      <w:u w:val="single" w:color="0000ff"/>
      <w:shd w:val="clear" w:color="auto" w:fill="ffffff"/>
    </w:rPr>
  </w:style>
  <w:style w:type="character" w:styleId="Hyperlink.1">
    <w:name w:val="Hyperlink.1"/>
    <w:basedOn w:val="Žádný"/>
    <w:next w:val="Hyperlink.1"/>
    <w:rPr>
      <w:rFonts w:ascii="Arial" w:cs="Arial" w:hAnsi="Arial" w:eastAsia="Arial"/>
      <w:outline w:val="0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urldefense.com/v3/__http://www.metroag.de__%25253b!!hhhkmsgjjqv-!tpykfjhm6abzbrmek2-hrcbpewcfvuwllsr9uknbdelgpcyuwqw4rqlfu9tpjbhn$" TargetMode="External"/><Relationship Id="rId5" Type="http://schemas.openxmlformats.org/officeDocument/2006/relationships/hyperlink" Target="mailto:romana.nydrle@makro.cz" TargetMode="External"/><Relationship Id="rId6" Type="http://schemas.openxmlformats.org/officeDocument/2006/relationships/hyperlink" Target="http://www.makro.cz" TargetMode="External"/><Relationship Id="rId7" Type="http://schemas.openxmlformats.org/officeDocument/2006/relationships/hyperlink" Target="http://www.facebook.com/makro.cz" TargetMode="External"/><Relationship Id="rId8" Type="http://schemas.openxmlformats.org/officeDocument/2006/relationships/hyperlink" Target="http://www.twitter.com/makroc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